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A848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UPOZORNĚNÍ PRO VĚŘITELE A ZAMĚSTNANCE</w:t>
      </w:r>
    </w:p>
    <w:p w14:paraId="09F2CD8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dle §33 a násl. zákona č.125/2008 Sb., o přeměnách obchodních společností a družstev, ve znění pozdějších předpisů </w:t>
      </w:r>
    </w:p>
    <w:p w14:paraId="42C47376">
      <w:pPr>
        <w:pBdr>
          <w:bottom w:val="single" w:color="auto" w:sz="6" w:space="1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(dále jen „Zákon o přeměnách“ )</w:t>
      </w:r>
    </w:p>
    <w:p w14:paraId="519E5CF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B7E03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Společnosti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5A50F4A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Penzion Starý Dvůr, s.r.o.</w:t>
      </w:r>
      <w:r>
        <w:rPr>
          <w:rFonts w:ascii="Times New Roman" w:hAnsi="Times New Roman" w:cs="Times New Roman"/>
          <w:sz w:val="24"/>
          <w:szCs w:val="24"/>
        </w:rPr>
        <w:t>, identifikační číslo 07342080, sídlem Starý Dvůr 132, 696 21 Prušánky, spisová značka C 107658 vedená u Krajského soudu v Brně (</w:t>
      </w:r>
      <w:r>
        <w:rPr>
          <w:rFonts w:ascii="Times New Roman" w:hAnsi="Times New Roman" w:cs="Times New Roman"/>
          <w:b/>
          <w:bCs/>
          <w:sz w:val="24"/>
          <w:szCs w:val="24"/>
        </w:rPr>
        <w:t>dále jen „Zanikající společnost“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028F36B1">
      <w:pPr>
        <w:pStyle w:val="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TERMOREG, spol. s r.o.</w:t>
      </w:r>
      <w:r>
        <w:rPr>
          <w:rFonts w:ascii="Times New Roman" w:hAnsi="Times New Roman" w:cs="Times New Roman"/>
          <w:sz w:val="24"/>
          <w:szCs w:val="24"/>
        </w:rPr>
        <w:t>, identifikační číslo 25314246, sídlem Hodonínská 352, 696 21 Prušánky, spisová značka C 24835 vedená u Krajského soudu v Brně 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dále jen „Nástupnická společnost“) </w:t>
      </w:r>
    </w:p>
    <w:p w14:paraId="7045BD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nástupnická společnost a zanikající společnosti dále společně jen </w:t>
      </w:r>
      <w:r>
        <w:rPr>
          <w:rFonts w:ascii="Times New Roman" w:hAnsi="Times New Roman" w:cs="Times New Roman"/>
          <w:b/>
          <w:bCs/>
          <w:sz w:val="24"/>
          <w:szCs w:val="24"/>
        </w:rPr>
        <w:t>„Zúčastněné společnosti“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30206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dle projektu fúze sloučením vyhotoveného dne 30.10.2025 (dále jen „Projekt“), na základě něhož dojde k zániku Zanikající společnosti bez likvidace a k přechodu jmění této společnosti na Nástupnickou společnost, která vstoupí do postavení zanikající společnosti, nestanoví-li zákon výslovně něco jiného (dále jen „Fúze sloučením“), vydávají následující upozornění pro věřitele, zástupce zaměstnanců, popřípadě zaměstnance, a společníky Společnosti na jejich práva dle Zákona o přeměnách (dále jen „Upozorněni“).</w:t>
      </w:r>
    </w:p>
    <w:p w14:paraId="0A6E40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BB974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Oznámení o uložení Projektu do sbírky listin obchodního rejstříku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06A435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Společnosti tímto oznamují, že Projekt byl vyhotoven, tedy podepsán všemi Zúčastněnými společnostmi, a uložen do sbírky listin příslušného rejstříkového soudu ke spisové značce Společnosti.</w:t>
      </w:r>
    </w:p>
    <w:p w14:paraId="0F46C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61846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Upozornění pro věřitele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1D6F3D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Zúčastněné společnosti tímto upozorňují věřitele na jejich práva vyplývající z §35 až §39 Zákona o přeměnách.</w:t>
      </w:r>
    </w:p>
    <w:p w14:paraId="4F66FA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20EC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Přihlášení pohledávek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5041E6FE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Věřitelé osob zúčastněných na přeměně mohou požadovat poskytnutí dostatečného zajištění, jestliže se v důsledku přeměny zhorší dobytnost jejich dosud nesplatných pohledávek ze závazků vzniklých před zveřejněním projektu přeměny podle §33 Zákona o přeměnách nebo jeho uveřejněním podle § 33a Zákona o přeměnách; to platí obdobně i pro pohledávky budoucí nebo podmíněné.</w:t>
      </w:r>
    </w:p>
    <w:p w14:paraId="312AB850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Nedojde-li mezi věřitelem a osobou zúčastněnou na přeměně či nástupnickou společností nebo družstvem k dohodě o způsobu zajištění pohledávky, zřídí dostatečné zajištění soud na návrh věřitele, který osvědčí skutečnosti nasvědčující tomu, že přeměna zhorší dobytnost jeho pohledávky. Soud zřídí dostatečné zajištění podle slušného uvážení s ohledem na druh a výši pohledávky.</w:t>
      </w:r>
    </w:p>
    <w:p w14:paraId="24D0952E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zřízení dostatečného zajištění rozhodne soud usnesením. Účinky zajištění nastávají nejdříve dnem, kdy se stal zápis přeměny do obchodního rejstříku účinným vůči třetím osobám.</w:t>
      </w:r>
    </w:p>
    <w:p w14:paraId="2257A848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Právo na dostatečné zajištění musí být uplatněno u soudu do 3 měsíců ode dne zveřejnění projektu přeměny podle § 33 Zákona o přeměnách nebo jeho uveřejnění podle § 33a Zákona o přeměnách, jinak zaniká. Podání návrhu nebrání zápisu přeměny do obchodního rejstříku.</w:t>
      </w:r>
    </w:p>
    <w:p w14:paraId="1C9B21B1">
      <w:pPr>
        <w:pStyle w:val="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Právo na poskytnutí dostatečného zajištění nemají věřitelé, kteří mají právo na přednostní uspokojení svých pohledávek v insolvenčním řízení, nebo kteří se pro účely insolvenčního řízení považují za zajištěné věřitele.</w:t>
      </w:r>
    </w:p>
    <w:p w14:paraId="68DBE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207C6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Práva vlastníků dluhopisů, opčních listů nebo jiných účastnických cenných papírů než akcií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5098A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Žádná ze zúčastněných společností nevydala nevyměnitelné či prioritní dluhopisy, ani jiné účastnické cenné papíry, s nimiž by byla spojena zvláštní práva ve smyslu ustanovení §37 a §38 Zákona o přeměnách, a proto se neuvádí skutečnosti podle těchto ustanovení týkající se takových cenných papírů.</w:t>
      </w:r>
    </w:p>
    <w:p w14:paraId="260C78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6D3D6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Povinnost příjemce veřejné podpory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2D835E8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Společnost není příjemcem veřejné podpory, proto se neuvádí skutečnosti podle ustanovení </w:t>
      </w:r>
      <w:r>
        <w:rPr>
          <w:rFonts w:ascii="Times New Roman" w:hAnsi="Times New Roman" w:cs="Times New Roman"/>
          <w:sz w:val="24"/>
          <w:szCs w:val="24"/>
        </w:rPr>
        <w:br w:type="textWrapping"/>
      </w:r>
      <w:r>
        <w:rPr>
          <w:rFonts w:ascii="Times New Roman" w:hAnsi="Times New Roman" w:cs="Times New Roman"/>
          <w:sz w:val="24"/>
          <w:szCs w:val="24"/>
        </w:rPr>
        <w:t>§39a Zákona o přeměnách.</w:t>
      </w:r>
    </w:p>
    <w:p w14:paraId="74D710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9915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Upozornění pro zaměstnance, popřípadě zástupce zaměstnanců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0E57D61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a povinnosti z pracovněprávních vztahů (ve vztahu k zaměstnancům, kteří se stávají zaměstnanci Nástupnické společnosti) přechází v plném rozsahu na přejímajícího zaměstnavatele (Nástupnickou společnost). Práva a povinnosti zaměstnanců při vnitrostátní přeměně stanoví zejména zákon č. 262/2006 Sb., zákoník práce, v platném znění.</w:t>
      </w:r>
    </w:p>
    <w:p w14:paraId="3525BC6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B950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Upozornění pro společníky Společnosti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C585C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Vzhledem k tomu, že se společník Společnosti jakožto zúčastněné společnosti na Fúzi vzdal všech práv v souvislosti s přeměnou, zejména:</w:t>
      </w:r>
    </w:p>
    <w:p w14:paraId="3FCF2483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 dle § 7 Zákona o přeměnách, tj.</w:t>
      </w:r>
    </w:p>
    <w:p w14:paraId="08B87EB9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na dorovnání,</w:t>
      </w:r>
    </w:p>
    <w:p w14:paraId="28E23D79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na náhradu škody,</w:t>
      </w:r>
    </w:p>
    <w:p w14:paraId="0A5D22A0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podat návrh na určení neplatnosti Projektu,</w:t>
      </w:r>
    </w:p>
    <w:p w14:paraId="32061B88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podat návrh na vyslovení neplatnosti rozhodnutí o schválení přeměny,</w:t>
      </w:r>
    </w:p>
    <w:p w14:paraId="2F5B0E38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na zaslání dokumentů dle 93 Zákona o přeměnách,</w:t>
      </w:r>
    </w:p>
    <w:p w14:paraId="533D3DB4">
      <w:pPr>
        <w:pStyle w:val="4"/>
        <w:numPr>
          <w:ilvl w:val="0"/>
          <w:numId w:val="4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práva požadovat informace, jež se týkají ostatních osob zúčastněných na přeměně;</w:t>
      </w:r>
    </w:p>
    <w:p w14:paraId="19739BC4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udělil souhlas s nevypracováním jakýchkoli zpráv vyžadovaných zákonem o přeměnách v souvislosti s fúzí sloučením, tj. zejména:</w:t>
      </w:r>
    </w:p>
    <w:p w14:paraId="032B6F52">
      <w:pPr>
        <w:pStyle w:val="4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zprávy statutárního orgánu o přeměně dle §24 zákona o přeměnách,</w:t>
      </w:r>
    </w:p>
    <w:p w14:paraId="06E2FC99">
      <w:pPr>
        <w:pStyle w:val="4"/>
        <w:numPr>
          <w:ilvl w:val="0"/>
          <w:numId w:val="5"/>
        </w:numPr>
        <w:spacing w:after="0" w:line="240" w:lineRule="auto"/>
        <w:ind w:left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znalecké zprávy o přezkoumání projektu fúze sloučení ve smyslu ustanovení §92 zákona o přeměnách;</w:t>
      </w:r>
    </w:p>
    <w:p w14:paraId="4197A535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 souladu s ustanovením §95a zákona o přeměnách prohlásil, že nevyžaduje seznámení s podstatnými změnami týkajícími se jmění všech zúčastněných společností, k nimž došlo v období od dne vyhotovení Projektu do dnešního dne a dále k nimž dojde v budoucnu do zápisu přeměny do obchodního rejstříku,</w:t>
      </w:r>
    </w:p>
    <w:p w14:paraId="04AB191F">
      <w:pPr>
        <w:pStyle w:val="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 smyslu §11a odst. 2 Zákona o přeměnách udělil souhlas s tím, že nebude vypracována mezitímní účetní závěrka žádné ze zúčastněných společností;</w:t>
      </w:r>
    </w:p>
    <w:p w14:paraId="215CCC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není třeba společníka na tato práva touto cestou výslovně upozorňovat.</w:t>
      </w:r>
    </w:p>
    <w:p w14:paraId="5194B98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9E7D2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Každá ze zúčastněných společností má stejného jediného společníka, bez jehož souhlasu s Fúzí při výkonu působnosti valné hromady Společnosti nelze Fúzi realizovat (nestanoví-li Zákon o přeměnách výslovně jinak), není tedy třeba upozorňovat na právo dle § 49a Zákona o přeměnách.</w:t>
      </w:r>
    </w:p>
    <w:p w14:paraId="1F19CF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Veškeré vklady do základního kapitálu Nástupnické společnosti byly splaceny. Ustanovení §39 zákona o přeměnách se proto nepoužije.</w:t>
      </w:r>
    </w:p>
    <w:p w14:paraId="35824B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E2BC2">
      <w:pPr>
        <w:tabs>
          <w:tab w:val="right" w:pos="9072"/>
        </w:tabs>
        <w:spacing w:after="0" w:line="240" w:lineRule="auto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Penzion Starý Dvůr, s.r.o.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TERMOREG, spol. s r.o.</w:t>
      </w:r>
    </w:p>
    <w:p w14:paraId="7A498D26">
      <w:bookmarkStart w:id="0" w:name="_GoBack"/>
      <w:bookmarkEnd w:id="0"/>
    </w:p>
    <w:sectPr>
      <w:pgSz w:w="11906" w:h="16838"/>
      <w:pgMar w:top="993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1907195"/>
    <w:multiLevelType w:val="multilevel"/>
    <w:tmpl w:val="11907195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6728D3"/>
    <w:multiLevelType w:val="multilevel"/>
    <w:tmpl w:val="1A6728D3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26095F8D"/>
    <w:multiLevelType w:val="multilevel"/>
    <w:tmpl w:val="26095F8D"/>
    <w:lvl w:ilvl="0" w:tentative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731C2"/>
    <w:multiLevelType w:val="multilevel"/>
    <w:tmpl w:val="2E8731C2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51CA7598"/>
    <w:multiLevelType w:val="multilevel"/>
    <w:tmpl w:val="51CA7598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AD4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cs-CZ" w:eastAsia="en-US" w:bidi="ar-SA"/>
      <w14:ligatures w14:val="standardContextual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Office_12.2.0.23155_F1E327BC-269C-435d-A152-05C5408002CA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2025-11-06T18:55:10Z</dcterms:created>
  <dc:creator>lenovo</dc:creator>
  <cp:lastModifiedBy>Ehtesham Shaikh</cp:lastModifiedBy>
  <dcterms:modified xsi:type="dcterms:W3CDTF">2025-11-06T18:55:45Z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E95668FFC567420386D6A65C01FD856E_12</vt:lpwstr>
  </property>
</Properties>
</file>